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763-5_4seq1.xml.htm"/>
      <w:bookmarkStart w:id="1" w:name="kstm2620763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Langlois Sophia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 ROUTE 22 EAST, SUITE 302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BRIDGEWATER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4,406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Upon vesting, each restricted stock unit ("RSU") will be settled in ordinary shares of the Issuer at one share per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on the earlier of (i) the first anniversary of the grant date and (ii) the date of the Issuer's next annual general meeting of shareholders.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constitutes a notice to the Issuer for purposes of Part V of the Companies Act 2014.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3130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3396</Characters>
  <CharactersWithSpaces>3969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